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105" w:rsidRDefault="00151CCF" w:rsidP="007E664C">
      <w:pPr>
        <w:pStyle w:val="Cmsor1"/>
        <w:spacing w:line="100" w:lineRule="atLeast"/>
        <w:ind w:left="2124" w:firstLine="708"/>
        <w:rPr>
          <w:rFonts w:cs="Tahoma"/>
          <w:szCs w:val="20"/>
        </w:rPr>
      </w:pPr>
      <w:bookmarkStart w:id="0" w:name="_Toc4868858071"/>
      <w:bookmarkStart w:id="1" w:name="_Toc72252339"/>
      <w:r>
        <w:rPr>
          <w:rFonts w:cs="Tahoma"/>
          <w:szCs w:val="20"/>
        </w:rPr>
        <w:t xml:space="preserve"> Szolgáltatás minőségi értékei</w:t>
      </w:r>
      <w:bookmarkEnd w:id="0"/>
      <w:bookmarkEnd w:id="1"/>
      <w:r>
        <w:rPr>
          <w:rFonts w:cs="Tahoma"/>
          <w:szCs w:val="20"/>
        </w:rPr>
        <w:t xml:space="preserve"> </w:t>
      </w:r>
    </w:p>
    <w:p w:rsidR="00650105" w:rsidRDefault="00650105">
      <w:pPr>
        <w:spacing w:line="100" w:lineRule="atLeast"/>
        <w:rPr>
          <w:rFonts w:cs="Tahoma"/>
          <w:szCs w:val="20"/>
        </w:rPr>
      </w:pP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szolgáltatás minőségének értékeinek megfelelősége</w:t>
      </w: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Érvényes 202</w:t>
      </w:r>
      <w:r w:rsidR="00F02316">
        <w:rPr>
          <w:rFonts w:ascii="Tahoma" w:hAnsi="Tahoma" w:cs="Tahoma"/>
          <w:sz w:val="20"/>
          <w:szCs w:val="20"/>
        </w:rPr>
        <w:t>2</w:t>
      </w:r>
      <w:bookmarkStart w:id="2" w:name="_GoBack"/>
      <w:bookmarkEnd w:id="2"/>
      <w:r>
        <w:rPr>
          <w:rFonts w:ascii="Tahoma" w:hAnsi="Tahoma" w:cs="Tahoma"/>
          <w:sz w:val="20"/>
          <w:szCs w:val="20"/>
        </w:rPr>
        <w:t>.0</w:t>
      </w:r>
      <w:r w:rsidR="007E664C">
        <w:rPr>
          <w:rFonts w:ascii="Tahoma" w:hAnsi="Tahoma" w:cs="Tahoma"/>
          <w:sz w:val="20"/>
          <w:szCs w:val="20"/>
        </w:rPr>
        <w:t>8</w:t>
      </w:r>
      <w:r>
        <w:rPr>
          <w:rFonts w:ascii="Tahoma" w:hAnsi="Tahoma" w:cs="Tahoma"/>
          <w:sz w:val="20"/>
          <w:szCs w:val="20"/>
        </w:rPr>
        <w:t>.01.-től</w:t>
      </w: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fldChar w:fldCharType="begin"/>
      </w:r>
      <w:r>
        <w:rPr>
          <w:rFonts w:ascii="Tahoma" w:hAnsi="Tahoma"/>
          <w:sz w:val="20"/>
          <w:szCs w:val="20"/>
        </w:rPr>
        <w:instrText>LINK Excel.Sheet.12 C:\\átalány_díjasok\\közösdoksik\\aszf_modosítasok\\210630\\előkészítés\\célérték\\celertek-tablak-egyedi-halozati.xlsx "egyedi szolg.min. követelmények!S1O2:S6O4" \a \f 4 \h  \* MERGEFORMAT</w:instrText>
      </w:r>
      <w:r>
        <w:rPr>
          <w:rFonts w:ascii="Tahoma" w:hAnsi="Tahoma"/>
          <w:sz w:val="20"/>
          <w:szCs w:val="20"/>
        </w:rPr>
        <w:fldChar w:fldCharType="separate"/>
      </w: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sz w:val="20"/>
          <w:szCs w:val="20"/>
        </w:rPr>
        <w:t xml:space="preserve"> A szolgáltatás minőségének egyedi és hálózati megfelelősége </w:t>
      </w:r>
      <w:r>
        <w:fldChar w:fldCharType="begin"/>
      </w:r>
      <w:r>
        <w:rPr>
          <w:rFonts w:ascii="Tahoma" w:hAnsi="Tahoma" w:cs="Tahoma"/>
          <w:b/>
          <w:bCs/>
          <w:sz w:val="20"/>
          <w:szCs w:val="20"/>
        </w:rPr>
        <w:instrText>LINK Excel.Sheet.12 C:\\átalány_díjasok\\közösdoksik\\aszf_modosítasok\\210630\\előkészítés\\célérték\\celertek-tablak-egyedi-halozati.xlsx "egyedi szolg.min. követelmények!S2O2:S6O5" \a \f 4 \h  \* MERGEFORMAT</w:instrText>
      </w:r>
      <w:r>
        <w:rPr>
          <w:rFonts w:ascii="Tahoma" w:hAnsi="Tahoma" w:cs="Tahoma"/>
          <w:b/>
          <w:bCs/>
          <w:sz w:val="20"/>
          <w:szCs w:val="20"/>
        </w:rPr>
        <w:fldChar w:fldCharType="separate"/>
      </w:r>
    </w:p>
    <w:p w:rsidR="00650105" w:rsidRDefault="00151CC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fldChar w:fldCharType="end"/>
      </w:r>
    </w:p>
    <w:p w:rsidR="00650105" w:rsidRDefault="00650105">
      <w:pPr>
        <w:rPr>
          <w:rFonts w:ascii="Tahoma" w:hAnsi="Tahoma" w:cs="Tahoma"/>
          <w:sz w:val="20"/>
          <w:szCs w:val="20"/>
        </w:rPr>
      </w:pP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 szolgáltatás minőségének hálózati megfelelősége (tájékoztató adatok)</w:t>
      </w: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(1000 előfizetői szám alatt nem kötelező vállalások)</w:t>
      </w:r>
    </w:p>
    <w:tbl>
      <w:tblPr>
        <w:tblW w:w="951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3684"/>
        <w:gridCol w:w="2409"/>
        <w:gridCol w:w="849"/>
        <w:gridCol w:w="996"/>
      </w:tblGrid>
      <w:tr w:rsidR="00650105">
        <w:trPr>
          <w:trHeight w:val="675"/>
        </w:trPr>
        <w:tc>
          <w:tcPr>
            <w:tcW w:w="1572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Megnevezés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Minőségi célérték meghatározása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Mérési módszer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mérték-egység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célérték</w:t>
            </w:r>
          </w:p>
        </w:tc>
      </w:tr>
      <w:tr w:rsidR="00650105">
        <w:trPr>
          <w:trHeight w:val="675"/>
        </w:trPr>
        <w:tc>
          <w:tcPr>
            <w:tcW w:w="1572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első csatlakozás létesítési ideje</w:t>
            </w:r>
          </w:p>
          <w:p w:rsidR="00650105" w:rsidRDefault="00650105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amely az érvényes szolgáltatásmegrendelés közvetlen szolgáltatóhoz történő beérkezése és a működő szolgáltatás rendelkezésre bocsátása között eltelt idő, kivéve a visszavont megrendelések;</w:t>
            </w:r>
          </w:p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szolgáltató nyilvántartó rendszere alapján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nap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</w:tr>
      <w:tr w:rsidR="00650105">
        <w:trPr>
          <w:trHeight w:val="900"/>
        </w:trPr>
        <w:tc>
          <w:tcPr>
            <w:tcW w:w="1572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hibajavítási idő</w:t>
            </w:r>
          </w:p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amely a hibabejelentéstől a szolgáltatáselem vagy szolgáltatás rendes üzemképes állapotának visszaállításáig eltelt idő;</w:t>
            </w:r>
          </w:p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szolgáltató nyilvántartó rendszere alapján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óra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72</w:t>
            </w:r>
          </w:p>
        </w:tc>
      </w:tr>
      <w:tr w:rsidR="00650105">
        <w:trPr>
          <w:trHeight w:val="1125"/>
        </w:trPr>
        <w:tc>
          <w:tcPr>
            <w:tcW w:w="1572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ügyfélszolgálat bejelentkezése</w:t>
            </w:r>
          </w:p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 szolgáltató telefonos ügyfélszolgálati ügyintézőjének 60 másodpercen belüli élőhangos bejelentkezésének százalékos aránya az ügyfélszolgálat felé indított sikeresen felépült hívások esetén (két tizedes jegyig tizedes</w:t>
            </w:r>
          </w:p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törtként is megadható)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Kezelő, hibafelvevő válaszideje az, az időtartam, amely a hívás felépítéséhez szükséges</w:t>
            </w:r>
            <w:r>
              <w:rPr>
                <w:rFonts w:ascii="Tahoma" w:hAnsi="Tahoma" w:cs="Tahoma"/>
                <w:sz w:val="20"/>
                <w:szCs w:val="20"/>
              </w:rPr>
              <w:br/>
              <w:t>címinformáció vételének pillanatától – a kezelői végberendezésen, vagy a hozzá</w:t>
            </w:r>
            <w:r>
              <w:rPr>
                <w:rFonts w:ascii="Tahoma" w:hAnsi="Tahoma" w:cs="Tahoma"/>
                <w:sz w:val="20"/>
                <w:szCs w:val="20"/>
              </w:rPr>
              <w:br/>
              <w:t>kapcsolódó hálózaton, hívássoroló rendszer alkalmazása esetén a kezelői bejelentkezést</w:t>
            </w:r>
            <w:r>
              <w:rPr>
                <w:rFonts w:ascii="Tahoma" w:hAnsi="Tahoma" w:cs="Tahoma"/>
                <w:sz w:val="20"/>
                <w:szCs w:val="20"/>
              </w:rPr>
              <w:br/>
              <w:t>igénylő menüpont hívó általi kiválasztását követően – a kezelő, hibafelvevő személyes</w:t>
            </w:r>
            <w:r>
              <w:rPr>
                <w:rFonts w:ascii="Tahoma" w:hAnsi="Tahoma" w:cs="Tahoma"/>
                <w:sz w:val="20"/>
                <w:szCs w:val="20"/>
              </w:rPr>
              <w:br/>
              <w:t>bejelentkezéséig tart, a beszélgetés időtartama már nem tartozik bele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90%</w:t>
            </w:r>
          </w:p>
        </w:tc>
      </w:tr>
      <w:tr w:rsidR="00650105">
        <w:trPr>
          <w:trHeight w:val="852"/>
        </w:trPr>
        <w:tc>
          <w:tcPr>
            <w:tcW w:w="1572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a hibaarány hozzáférési vonalanként</w:t>
            </w:r>
          </w:p>
        </w:tc>
        <w:tc>
          <w:tcPr>
            <w:tcW w:w="3684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a hibaarány hozzáférési vonalanként, amely a hozzáférési vonalanként bejelentett évenkénti hibák száma;</w:t>
            </w:r>
          </w:p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szolgáltató nyilvántartása alapján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db/év</w:t>
            </w:r>
          </w:p>
        </w:tc>
        <w:tc>
          <w:tcPr>
            <w:tcW w:w="996" w:type="dxa"/>
            <w:shd w:val="clear" w:color="auto" w:fill="FFFFFF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15</w:t>
            </w:r>
          </w:p>
        </w:tc>
      </w:tr>
    </w:tbl>
    <w:p w:rsidR="00650105" w:rsidRDefault="00650105">
      <w:pPr>
        <w:rPr>
          <w:rFonts w:ascii="Tahoma" w:hAnsi="Tahoma" w:cs="Tahoma"/>
          <w:sz w:val="20"/>
          <w:szCs w:val="20"/>
        </w:rPr>
      </w:pPr>
    </w:p>
    <w:p w:rsidR="00650105" w:rsidRDefault="00650105">
      <w:pPr>
        <w:rPr>
          <w:rFonts w:ascii="Tahoma" w:hAnsi="Tahoma" w:cs="Tahoma"/>
          <w:sz w:val="20"/>
          <w:szCs w:val="20"/>
        </w:rPr>
      </w:pP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Helyhez kötött internet-hozzáférési szolgáltatás esetén a szolgáltató az egyes díjcsomagokba foglalt szolgáltatások vonatkozásában köteles meghatározni a sebességre, mint egyedi szolgáltatásminőségi követelményre vonatkozó célértékeket az alábbiak szerint: </w:t>
      </w: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a) a maximális sebességet, </w:t>
      </w: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b) a rendes körülmények között elérhető sebességet, </w:t>
      </w: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c) a minimális sebességet.</w:t>
      </w:r>
    </w:p>
    <w:p w:rsidR="00650105" w:rsidRDefault="00650105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650105" w:rsidRDefault="00650105">
      <w:pPr>
        <w:rPr>
          <w:rFonts w:ascii="Tahoma" w:hAnsi="Tahoma" w:cs="Tahoma"/>
          <w:b/>
          <w:bCs/>
          <w:i/>
          <w:iCs/>
          <w:sz w:val="20"/>
          <w:szCs w:val="20"/>
        </w:rPr>
      </w:pP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Fogalmak:</w:t>
      </w: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- A maximális (névleges) sebesség: a helyhez kötött internet-hozzáférési szolgáltatásra vonatkozóan a szolgáltató által az előfizetői szerződésben vállalt legmagasabb le- és feltöltési sebesség, amelyet a felhasználó a szolgáltatás igénybevétele során megtapasztalhat.</w:t>
      </w: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A rendes körülmények között elérhető sebességnek naptári naponként legalább az idő 90%-ában az előfizető rendelkezésére kell állnia, kivéve a szolgáltatás korlátozásának, szüneteltetésének és felfüggesztésének esetét. </w:t>
      </w:r>
    </w:p>
    <w:p w:rsidR="00650105" w:rsidRDefault="00151CCF">
      <w:pPr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- A minimális sebességnek a szolgáltatás igénybevétele során folyamatosan az előfizető rendelkezésére kell állnia, kivéve a szolgáltatás korlátozásának, szüneteltetésének és felfüggesztésének esetét. </w:t>
      </w:r>
    </w:p>
    <w:p w:rsidR="00650105" w:rsidRDefault="00650105">
      <w:pPr>
        <w:rPr>
          <w:rFonts w:ascii="Tahoma" w:hAnsi="Tahoma" w:cs="Tahoma"/>
          <w:i/>
          <w:iCs/>
          <w:sz w:val="20"/>
          <w:szCs w:val="20"/>
        </w:rPr>
      </w:pPr>
    </w:p>
    <w:p w:rsidR="00650105" w:rsidRDefault="00151CC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A szolgáltató a 25/2020. (XII. 21.) NMHH rendelet szerinti hálózati szolgáltatásminőségi követelményeknek való megfelelés tekintetében e rendelet 8–11.  §-át először a 2022. naptári év vonatkozásában teljesíti, melyről a tanúsítást 2023. február 28-ig nyújtja be a Hatóságnak.</w:t>
      </w:r>
    </w:p>
    <w:tbl>
      <w:tblPr>
        <w:tblpPr w:leftFromText="141" w:rightFromText="141" w:vertAnchor="text" w:horzAnchor="page" w:tblpX="1951" w:tblpY="590"/>
        <w:tblW w:w="6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759"/>
        <w:gridCol w:w="2721"/>
      </w:tblGrid>
      <w:tr w:rsidR="00650105">
        <w:trPr>
          <w:trHeight w:val="267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FOGALOM</w:t>
            </w:r>
          </w:p>
        </w:tc>
        <w:tc>
          <w:tcPr>
            <w:tcW w:w="1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AZONOSÍTÓ</w:t>
            </w:r>
          </w:p>
        </w:tc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MÉRÉSI MÓDSZER</w:t>
            </w:r>
          </w:p>
        </w:tc>
      </w:tr>
      <w:tr w:rsidR="00650105">
        <w:trPr>
          <w:trHeight w:val="795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le- és feltöltési adatátviteli </w:t>
            </w:r>
            <w:r>
              <w:rPr>
                <w:rFonts w:ascii="Tahoma" w:hAnsi="Tahoma" w:cs="Tahoma"/>
                <w:sz w:val="20"/>
                <w:szCs w:val="20"/>
              </w:rPr>
              <w:br/>
              <w:t>sebesség</w:t>
            </w: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ETSI EG 202 057-4 V1.2.1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(2008-07)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ETSI EG 202 057-4 V1.2.1 </w:t>
            </w:r>
            <w:r>
              <w:rPr>
                <w:rFonts w:ascii="Tahoma" w:hAnsi="Tahoma" w:cs="Tahoma"/>
                <w:sz w:val="20"/>
                <w:szCs w:val="20"/>
              </w:rPr>
              <w:br/>
              <w:t>(2008-07) 5.2; RFC 6349</w:t>
            </w:r>
          </w:p>
        </w:tc>
      </w:tr>
      <w:tr w:rsidR="00650105">
        <w:trPr>
          <w:trHeight w:val="360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késleltetés</w:t>
            </w: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IETF RFC 2681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 (17) 178 3.2.</w:t>
            </w:r>
          </w:p>
        </w:tc>
      </w:tr>
      <w:tr w:rsidR="00650105">
        <w:trPr>
          <w:trHeight w:val="255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késleltetésingadozás</w:t>
            </w: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IETF RFC 3393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BoR (17) 178 3.2.</w:t>
            </w:r>
          </w:p>
        </w:tc>
      </w:tr>
      <w:tr w:rsidR="00650105">
        <w:trPr>
          <w:trHeight w:val="255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csomagvesztés</w:t>
            </w:r>
          </w:p>
        </w:tc>
        <w:tc>
          <w:tcPr>
            <w:tcW w:w="17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ITU-T Y.2617</w:t>
            </w:r>
          </w:p>
        </w:tc>
        <w:tc>
          <w:tcPr>
            <w:tcW w:w="2721" w:type="dxa"/>
            <w:tcBorders>
              <w:bottom w:val="single" w:sz="4" w:space="0" w:color="000000"/>
            </w:tcBorders>
            <w:shd w:val="clear" w:color="auto" w:fill="auto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BoR (17) 178 3.3.</w:t>
            </w:r>
          </w:p>
        </w:tc>
      </w:tr>
    </w:tbl>
    <w:p w:rsidR="00650105" w:rsidRDefault="00151CCF">
      <w:pPr>
        <w:rPr>
          <w:rFonts w:ascii="Tahoma" w:hAnsi="Tahoma" w:cs="Tahoma"/>
          <w:sz w:val="20"/>
          <w:szCs w:val="20"/>
        </w:rPr>
      </w:pPr>
      <w:r>
        <w:br w:type="page"/>
      </w:r>
    </w:p>
    <w:p w:rsidR="00650105" w:rsidRDefault="00650105">
      <w:pPr>
        <w:rPr>
          <w:rFonts w:ascii="Tahoma" w:hAnsi="Tahoma" w:cs="Tahoma"/>
          <w:sz w:val="20"/>
          <w:szCs w:val="20"/>
        </w:rPr>
      </w:pPr>
    </w:p>
    <w:p w:rsidR="00650105" w:rsidRDefault="00650105">
      <w:pPr>
        <w:rPr>
          <w:rFonts w:ascii="Tahoma" w:hAnsi="Tahoma" w:cs="Tahoma"/>
          <w:sz w:val="20"/>
          <w:szCs w:val="20"/>
        </w:rPr>
      </w:pPr>
    </w:p>
    <w:tbl>
      <w:tblPr>
        <w:tblW w:w="7948" w:type="dxa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42"/>
        <w:gridCol w:w="1301"/>
        <w:gridCol w:w="1302"/>
        <w:gridCol w:w="1301"/>
        <w:gridCol w:w="1302"/>
      </w:tblGrid>
      <w:tr w:rsidR="00650105">
        <w:trPr>
          <w:trHeight w:val="315"/>
        </w:trPr>
        <w:tc>
          <w:tcPr>
            <w:tcW w:w="2742" w:type="dxa"/>
            <w:vAlign w:val="bottom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Érvényes: 2021.07.01.-től</w:t>
            </w:r>
          </w:p>
        </w:tc>
        <w:tc>
          <w:tcPr>
            <w:tcW w:w="1301" w:type="dxa"/>
            <w:vAlign w:val="bottom"/>
          </w:tcPr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2" w:type="dxa"/>
            <w:vAlign w:val="bottom"/>
          </w:tcPr>
          <w:p w:rsidR="00650105" w:rsidRDefault="0065010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Díjcsomag neve</w:t>
            </w:r>
          </w:p>
        </w:tc>
        <w:tc>
          <w:tcPr>
            <w:tcW w:w="1301" w:type="dxa"/>
            <w:vAlign w:val="bottom"/>
          </w:tcPr>
          <w:p w:rsidR="00650105" w:rsidRDefault="00A52C0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Kezdő</w:t>
            </w:r>
          </w:p>
        </w:tc>
        <w:tc>
          <w:tcPr>
            <w:tcW w:w="1302" w:type="dxa"/>
            <w:vAlign w:val="bottom"/>
          </w:tcPr>
          <w:p w:rsidR="00650105" w:rsidRDefault="00A52C0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Alap</w:t>
            </w:r>
          </w:p>
        </w:tc>
        <w:tc>
          <w:tcPr>
            <w:tcW w:w="1301" w:type="dxa"/>
            <w:vAlign w:val="bottom"/>
          </w:tcPr>
          <w:p w:rsidR="00650105" w:rsidRDefault="00A52C0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Profi</w:t>
            </w:r>
          </w:p>
        </w:tc>
        <w:tc>
          <w:tcPr>
            <w:tcW w:w="1302" w:type="dxa"/>
            <w:vAlign w:val="bottom"/>
          </w:tcPr>
          <w:p w:rsidR="00650105" w:rsidRDefault="00A52C01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Extra</w:t>
            </w:r>
          </w:p>
        </w:tc>
      </w:tr>
      <w:tr w:rsidR="00650105">
        <w:trPr>
          <w:trHeight w:val="49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Maximális letöltési sebesség (Mbit/s)</w:t>
            </w:r>
          </w:p>
        </w:tc>
        <w:tc>
          <w:tcPr>
            <w:tcW w:w="1301" w:type="dxa"/>
            <w:vAlign w:val="bottom"/>
          </w:tcPr>
          <w:p w:rsidR="00650105" w:rsidRDefault="00151CCF" w:rsidP="00A52C01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</w:t>
            </w:r>
            <w:r w:rsidR="00A52C01">
              <w:t>2</w:t>
            </w:r>
          </w:p>
        </w:tc>
        <w:tc>
          <w:tcPr>
            <w:tcW w:w="1302" w:type="dxa"/>
            <w:vAlign w:val="bottom"/>
          </w:tcPr>
          <w:p w:rsidR="00650105" w:rsidRDefault="00151CCF" w:rsidP="00A52C01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2</w:t>
            </w:r>
            <w:r w:rsidR="00A52C01">
              <w:t>5</w:t>
            </w:r>
          </w:p>
        </w:tc>
        <w:tc>
          <w:tcPr>
            <w:tcW w:w="1301" w:type="dxa"/>
            <w:vAlign w:val="bottom"/>
          </w:tcPr>
          <w:p w:rsidR="00650105" w:rsidRDefault="00A52C01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302" w:type="dxa"/>
            <w:vAlign w:val="bottom"/>
          </w:tcPr>
          <w:p w:rsidR="00650105" w:rsidRDefault="00A52C01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650105">
        <w:trPr>
          <w:trHeight w:val="49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Maximális feltöltési sebesség (Mbit/s)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1,5</w:t>
            </w:r>
          </w:p>
        </w:tc>
        <w:tc>
          <w:tcPr>
            <w:tcW w:w="1302" w:type="dxa"/>
            <w:vAlign w:val="bottom"/>
          </w:tcPr>
          <w:p w:rsidR="00650105" w:rsidRDefault="0045110E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301" w:type="dxa"/>
            <w:vAlign w:val="bottom"/>
          </w:tcPr>
          <w:p w:rsidR="00650105" w:rsidRDefault="0045110E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02" w:type="dxa"/>
            <w:vAlign w:val="bottom"/>
          </w:tcPr>
          <w:p w:rsidR="00650105" w:rsidRDefault="0045110E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650105">
        <w:trPr>
          <w:trHeight w:val="73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Rendes körülmények között elérhető letöltési sebesség (Mbit/s)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302" w:type="dxa"/>
            <w:vAlign w:val="bottom"/>
          </w:tcPr>
          <w:p w:rsidR="00650105" w:rsidRDefault="00151CCF" w:rsidP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</w:t>
            </w:r>
            <w:r w:rsidR="000B2666">
              <w:t>5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650105">
        <w:trPr>
          <w:trHeight w:val="82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Rendes körülmények között elérhető feltöltési sebesség (Mbit/s)</w:t>
            </w:r>
          </w:p>
        </w:tc>
        <w:tc>
          <w:tcPr>
            <w:tcW w:w="1301" w:type="dxa"/>
            <w:vAlign w:val="bottom"/>
          </w:tcPr>
          <w:p w:rsidR="00650105" w:rsidRDefault="00151CCF" w:rsidP="000B2666">
            <w:pPr>
              <w:widowControl w:val="0"/>
              <w:jc w:val="right"/>
            </w:pPr>
            <w:r>
              <w:t>1,</w:t>
            </w:r>
            <w:r w:rsidR="000B2666">
              <w:t>2</w:t>
            </w:r>
            <w:r>
              <w:t>5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</w:pPr>
            <w:r>
              <w:t>3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</w:pPr>
            <w:r>
              <w:t>4,5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</w:pPr>
            <w:r>
              <w:t>7</w:t>
            </w:r>
          </w:p>
        </w:tc>
      </w:tr>
      <w:tr w:rsidR="00650105">
        <w:trPr>
          <w:trHeight w:val="55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Minimális letöltési sebesség (Mbit/s)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2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4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650105">
        <w:trPr>
          <w:trHeight w:val="45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Minimális feltöltési sebesség (Mbit/s)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0,5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650105">
        <w:trPr>
          <w:trHeight w:val="42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Késleltetés (Körbejárási) (ms)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</w:t>
            </w:r>
          </w:p>
        </w:tc>
      </w:tr>
      <w:tr w:rsidR="00650105">
        <w:trPr>
          <w:trHeight w:val="57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Késleltetés-ingadozás (Körbejárási) (ms)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40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40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40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40</w:t>
            </w:r>
          </w:p>
        </w:tc>
      </w:tr>
      <w:tr w:rsidR="00650105">
        <w:trPr>
          <w:trHeight w:val="34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Csomagvesztés %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5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5</w:t>
            </w:r>
          </w:p>
        </w:tc>
      </w:tr>
      <w:tr w:rsidR="00650105">
        <w:trPr>
          <w:trHeight w:val="78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Több saját eszköz közötti megosztás lehetősége (van / nincs)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van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van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van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van</w:t>
            </w:r>
          </w:p>
        </w:tc>
      </w:tr>
      <w:tr w:rsidR="00650105">
        <w:trPr>
          <w:trHeight w:val="67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Díjcsomagban foglalt adatforgalom (le- és feltöltés, GB)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korlátlan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korlátlan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korlátlan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korlátlan</w:t>
            </w:r>
          </w:p>
        </w:tc>
      </w:tr>
      <w:tr w:rsidR="00650105">
        <w:trPr>
          <w:trHeight w:val="9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Szolgáltatások, alkalmazások, amelyek nem számítanak be a díjcsomagba foglalt adatforgalmi keretbe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Túlforgalmazás kezelése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nincs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Web-böngészés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VoIP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Chat alkalmazások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Közösségi oldalak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Fájlcserélő alkalmazások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Videómegosztó alkalmazások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Online TV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1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  <w:tc>
          <w:tcPr>
            <w:tcW w:w="130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igen</w:t>
            </w:r>
          </w:p>
        </w:tc>
      </w:tr>
      <w:tr w:rsidR="00650105">
        <w:trPr>
          <w:trHeight w:val="45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Határozatlan idejű szerződés esetén ár Ft/hó</w:t>
            </w:r>
          </w:p>
        </w:tc>
        <w:tc>
          <w:tcPr>
            <w:tcW w:w="1301" w:type="dxa"/>
            <w:vAlign w:val="center"/>
          </w:tcPr>
          <w:p w:rsidR="00650105" w:rsidRDefault="000B2666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40</w:t>
            </w:r>
            <w:r w:rsidR="00151CCF">
              <w:t>00</w:t>
            </w:r>
          </w:p>
        </w:tc>
        <w:tc>
          <w:tcPr>
            <w:tcW w:w="1302" w:type="dxa"/>
            <w:vAlign w:val="center"/>
          </w:tcPr>
          <w:p w:rsidR="00650105" w:rsidRDefault="000B2666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74</w:t>
            </w:r>
            <w:r w:rsidR="00151CCF">
              <w:t>00</w:t>
            </w:r>
          </w:p>
        </w:tc>
        <w:tc>
          <w:tcPr>
            <w:tcW w:w="1301" w:type="dxa"/>
            <w:vAlign w:val="center"/>
          </w:tcPr>
          <w:p w:rsidR="00650105" w:rsidRDefault="000B2666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1100</w:t>
            </w:r>
            <w:r w:rsidR="00151CCF">
              <w:t>0</w:t>
            </w:r>
          </w:p>
        </w:tc>
        <w:tc>
          <w:tcPr>
            <w:tcW w:w="1302" w:type="dxa"/>
            <w:vAlign w:val="center"/>
          </w:tcPr>
          <w:p w:rsidR="00650105" w:rsidRDefault="000B2666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1400</w:t>
            </w:r>
            <w:r w:rsidR="00151CCF">
              <w:t>0</w:t>
            </w:r>
          </w:p>
        </w:tc>
      </w:tr>
      <w:tr w:rsidR="00650105">
        <w:trPr>
          <w:trHeight w:val="300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t>Bekötési díj Ft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12000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10000</w:t>
            </w:r>
          </w:p>
        </w:tc>
        <w:tc>
          <w:tcPr>
            <w:tcW w:w="1301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10000</w:t>
            </w:r>
          </w:p>
        </w:tc>
        <w:tc>
          <w:tcPr>
            <w:tcW w:w="1302" w:type="dxa"/>
            <w:vAlign w:val="bottom"/>
          </w:tcPr>
          <w:p w:rsidR="00650105" w:rsidRDefault="00151CCF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10000</w:t>
            </w:r>
          </w:p>
        </w:tc>
      </w:tr>
      <w:tr w:rsidR="00650105">
        <w:trPr>
          <w:trHeight w:val="465"/>
        </w:trPr>
        <w:tc>
          <w:tcPr>
            <w:tcW w:w="2742" w:type="dxa"/>
            <w:vAlign w:val="center"/>
          </w:tcPr>
          <w:p w:rsidR="00650105" w:rsidRDefault="00151CCF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Kedvezményes díjak Ft/hó 12 hónap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360</w:t>
            </w:r>
            <w:r w:rsidR="00151CCF">
              <w:t>0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690</w:t>
            </w:r>
            <w:r w:rsidR="00151CCF">
              <w:t>0</w:t>
            </w:r>
          </w:p>
        </w:tc>
        <w:tc>
          <w:tcPr>
            <w:tcW w:w="1301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1000</w:t>
            </w:r>
            <w:r w:rsidR="00151CCF">
              <w:t>0</w:t>
            </w:r>
          </w:p>
        </w:tc>
        <w:tc>
          <w:tcPr>
            <w:tcW w:w="1302" w:type="dxa"/>
            <w:vAlign w:val="bottom"/>
          </w:tcPr>
          <w:p w:rsidR="00650105" w:rsidRDefault="000B2666">
            <w:pPr>
              <w:widowControl w:val="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t>1350</w:t>
            </w:r>
            <w:r w:rsidR="00151CCF">
              <w:t>0</w:t>
            </w:r>
          </w:p>
        </w:tc>
      </w:tr>
    </w:tbl>
    <w:p w:rsidR="00650105" w:rsidRDefault="00650105" w:rsidP="007E664C">
      <w:pPr>
        <w:rPr>
          <w:rFonts w:ascii="Tahoma" w:hAnsi="Tahoma" w:cs="Tahoma"/>
          <w:sz w:val="20"/>
          <w:szCs w:val="20"/>
        </w:rPr>
      </w:pPr>
    </w:p>
    <w:sectPr w:rsidR="0065010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81C" w:rsidRDefault="004A681C" w:rsidP="00A52C01">
      <w:r>
        <w:separator/>
      </w:r>
    </w:p>
  </w:endnote>
  <w:endnote w:type="continuationSeparator" w:id="0">
    <w:p w:rsidR="004A681C" w:rsidRDefault="004A681C" w:rsidP="00A5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81C" w:rsidRDefault="004A681C" w:rsidP="00A52C01">
      <w:r>
        <w:separator/>
      </w:r>
    </w:p>
  </w:footnote>
  <w:footnote w:type="continuationSeparator" w:id="0">
    <w:p w:rsidR="004A681C" w:rsidRDefault="004A681C" w:rsidP="00A52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105"/>
    <w:rsid w:val="000B2666"/>
    <w:rsid w:val="00151CCF"/>
    <w:rsid w:val="0045110E"/>
    <w:rsid w:val="004A681C"/>
    <w:rsid w:val="00650105"/>
    <w:rsid w:val="007E664C"/>
    <w:rsid w:val="00966BBC"/>
    <w:rsid w:val="00A4757C"/>
    <w:rsid w:val="00A52C01"/>
    <w:rsid w:val="00B0348B"/>
    <w:rsid w:val="00F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01D0"/>
  <w15:docId w15:val="{9DCB0CF3-DEE3-4A69-B186-80EBC2E7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hu-H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6F2D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qFormat/>
    <w:rsid w:val="00500B3C"/>
    <w:pPr>
      <w:keepNext/>
      <w:keepLines/>
      <w:spacing w:before="240" w:line="259" w:lineRule="auto"/>
      <w:outlineLvl w:val="0"/>
    </w:pPr>
    <w:rPr>
      <w:rFonts w:ascii="Tahoma" w:hAnsi="Tahoma" w:cstheme="majorBidi"/>
      <w:b/>
      <w:color w:val="262626" w:themeColor="text1" w:themeTint="D9"/>
      <w:sz w:val="20"/>
      <w:szCs w:val="32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500B3C"/>
    <w:pPr>
      <w:keepNext/>
      <w:keepLines/>
      <w:spacing w:before="40" w:line="259" w:lineRule="auto"/>
      <w:outlineLvl w:val="2"/>
    </w:pPr>
    <w:rPr>
      <w:rFonts w:ascii="Tahoma" w:eastAsiaTheme="majorEastAsia" w:hAnsi="Tahoma" w:cstheme="majorBidi"/>
      <w:i/>
      <w:color w:val="0D0D0D" w:themeColor="text1" w:themeTint="F2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500B3C"/>
    <w:rPr>
      <w:rFonts w:ascii="Tahoma" w:eastAsia="Times New Roman" w:hAnsi="Tahoma" w:cstheme="majorBidi"/>
      <w:b/>
      <w:color w:val="262626" w:themeColor="text1" w:themeTint="D9"/>
      <w:sz w:val="20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rsid w:val="00500B3C"/>
    <w:rPr>
      <w:rFonts w:ascii="Tahoma" w:eastAsiaTheme="majorEastAsia" w:hAnsi="Tahoma" w:cstheme="majorBidi"/>
      <w:i/>
      <w:color w:val="0D0D0D" w:themeColor="text1" w:themeTint="F2"/>
      <w:sz w:val="20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Kerettartalom">
    <w:name w:val="Kerettartalom"/>
    <w:basedOn w:val="Norml"/>
    <w:qFormat/>
  </w:style>
  <w:style w:type="table" w:styleId="Rcsostblzat">
    <w:name w:val="Table Grid"/>
    <w:basedOn w:val="Normltblzat"/>
    <w:rsid w:val="000E6F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52C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2C01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A52C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2C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 Szabó</dc:creator>
  <dc:description/>
  <cp:lastModifiedBy>Viki</cp:lastModifiedBy>
  <cp:revision>9</cp:revision>
  <dcterms:created xsi:type="dcterms:W3CDTF">2022-07-19T09:37:00Z</dcterms:created>
  <dcterms:modified xsi:type="dcterms:W3CDTF">2022-07-19T10:44:00Z</dcterms:modified>
  <dc:language>hu-HU</dc:language>
</cp:coreProperties>
</file>